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8CF9" w14:textId="451729B4" w:rsidR="0091134C" w:rsidRDefault="0091134C" w:rsidP="00567EC3">
      <w:pPr>
        <w:pStyle w:val="Heading1"/>
        <w:tabs>
          <w:tab w:val="left" w:pos="720"/>
        </w:tabs>
        <w:ind w:left="0"/>
        <w:jc w:val="both"/>
        <w:rPr>
          <w:rFonts w:cs="Arial"/>
          <w:sz w:val="22"/>
          <w:szCs w:val="22"/>
        </w:rPr>
      </w:pPr>
      <w:r w:rsidRPr="00E209C8">
        <w:rPr>
          <w:noProof/>
          <w:color w:val="000000" w:themeColor="text1"/>
          <w:sz w:val="20"/>
        </w:rPr>
        <w:drawing>
          <wp:inline distT="0" distB="0" distL="0" distR="0" wp14:anchorId="24A7ADAB" wp14:editId="4FBE3357">
            <wp:extent cx="2428875" cy="503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79" cy="5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2517" w14:textId="77777777" w:rsidR="0091134C" w:rsidRDefault="0091134C" w:rsidP="00567EC3">
      <w:pPr>
        <w:pStyle w:val="Heading1"/>
        <w:tabs>
          <w:tab w:val="left" w:pos="720"/>
        </w:tabs>
        <w:ind w:left="0"/>
        <w:jc w:val="both"/>
        <w:rPr>
          <w:rFonts w:cs="Arial"/>
          <w:sz w:val="22"/>
          <w:szCs w:val="22"/>
        </w:rPr>
      </w:pPr>
    </w:p>
    <w:p w14:paraId="546D5852" w14:textId="77777777" w:rsidR="0091134C" w:rsidRDefault="0091134C" w:rsidP="00567EC3">
      <w:pPr>
        <w:pStyle w:val="Heading1"/>
        <w:tabs>
          <w:tab w:val="left" w:pos="720"/>
        </w:tabs>
        <w:ind w:left="0"/>
        <w:jc w:val="both"/>
        <w:rPr>
          <w:rFonts w:cs="Arial"/>
          <w:sz w:val="22"/>
          <w:szCs w:val="22"/>
        </w:rPr>
      </w:pPr>
    </w:p>
    <w:p w14:paraId="6C461742" w14:textId="3BDAD014" w:rsidR="002F6697" w:rsidRPr="0091134C" w:rsidRDefault="0091134C" w:rsidP="00567EC3">
      <w:pPr>
        <w:pStyle w:val="Heading1"/>
        <w:tabs>
          <w:tab w:val="left" w:pos="720"/>
        </w:tabs>
        <w:ind w:left="0"/>
        <w:jc w:val="both"/>
        <w:rPr>
          <w:rFonts w:cs="Arial"/>
          <w:sz w:val="22"/>
          <w:szCs w:val="22"/>
        </w:rPr>
      </w:pPr>
      <w:r w:rsidRPr="0091134C">
        <w:rPr>
          <w:rFonts w:cs="Arial"/>
          <w:sz w:val="22"/>
          <w:szCs w:val="22"/>
        </w:rPr>
        <w:t>Quality Assurance</w:t>
      </w:r>
    </w:p>
    <w:p w14:paraId="5924A84A" w14:textId="22384FA8" w:rsidR="00E217D0" w:rsidRDefault="00E217D0" w:rsidP="00567EC3">
      <w:pPr>
        <w:pStyle w:val="Heading1"/>
        <w:tabs>
          <w:tab w:val="left" w:pos="720"/>
        </w:tabs>
        <w:ind w:left="0"/>
        <w:jc w:val="both"/>
        <w:rPr>
          <w:rFonts w:cs="Arial"/>
          <w:sz w:val="22"/>
          <w:szCs w:val="22"/>
          <w:u w:val="single"/>
        </w:rPr>
      </w:pPr>
    </w:p>
    <w:p w14:paraId="229D9F53" w14:textId="401DC899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Loughborough University</w:t>
      </w:r>
      <w:r>
        <w:rPr>
          <w:sz w:val="22"/>
          <w:szCs w:val="22"/>
        </w:rPr>
        <w:t xml:space="preserve"> monitors and evaluates all its systems, </w:t>
      </w:r>
      <w:proofErr w:type="gramStart"/>
      <w:r>
        <w:rPr>
          <w:sz w:val="22"/>
          <w:szCs w:val="22"/>
        </w:rPr>
        <w:t>policies</w:t>
      </w:r>
      <w:proofErr w:type="gramEnd"/>
      <w:r>
        <w:rPr>
          <w:sz w:val="22"/>
          <w:szCs w:val="22"/>
        </w:rPr>
        <w:t xml:space="preserve"> and procedures for the delivery of regulated qualifications to ensure they are in line with regulatory General Conditions of Recognition</w:t>
      </w:r>
      <w:r>
        <w:rPr>
          <w:sz w:val="22"/>
          <w:szCs w:val="22"/>
        </w:rPr>
        <w:t>.</w:t>
      </w:r>
    </w:p>
    <w:p w14:paraId="41937516" w14:textId="7A22C2F1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AD2897F" w14:textId="3CE6CDE1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Continuous improvement is assured through ongoing monitoring, thus promoting public confidence in the quality of all </w:t>
      </w:r>
      <w:r>
        <w:rPr>
          <w:sz w:val="22"/>
          <w:szCs w:val="22"/>
        </w:rPr>
        <w:t>our</w:t>
      </w:r>
      <w:r>
        <w:rPr>
          <w:sz w:val="22"/>
          <w:szCs w:val="22"/>
        </w:rPr>
        <w:t xml:space="preserve"> qualifications.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Prompt action is taken to address any weakness identified, and this monitoring forms part of </w:t>
      </w:r>
      <w:r>
        <w:rPr>
          <w:sz w:val="22"/>
          <w:szCs w:val="22"/>
        </w:rPr>
        <w:t>our</w:t>
      </w:r>
      <w:r>
        <w:rPr>
          <w:sz w:val="22"/>
          <w:szCs w:val="22"/>
        </w:rPr>
        <w:t xml:space="preserve"> annual self-assessment activities. </w:t>
      </w:r>
    </w:p>
    <w:p w14:paraId="7D75033B" w14:textId="77777777" w:rsidR="0091134C" w:rsidRDefault="0091134C" w:rsidP="0091134C">
      <w:pPr>
        <w:pStyle w:val="Default"/>
        <w:rPr>
          <w:sz w:val="22"/>
          <w:szCs w:val="22"/>
        </w:rPr>
      </w:pPr>
    </w:p>
    <w:p w14:paraId="79F1C1CC" w14:textId="54FD40D6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will also monitor and evaluate the following to better inform our processes: </w:t>
      </w:r>
    </w:p>
    <w:p w14:paraId="4AA4A845" w14:textId="77777777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malpractice / maladministration events </w:t>
      </w:r>
    </w:p>
    <w:p w14:paraId="29D82DF8" w14:textId="77777777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reasonable assessment adjustment and special consideration requests </w:t>
      </w:r>
    </w:p>
    <w:p w14:paraId="656840D5" w14:textId="55CBC190" w:rsidR="0091134C" w:rsidRDefault="0091134C" w:rsidP="009113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the nature and number of enquiries and appeals </w:t>
      </w:r>
    </w:p>
    <w:p w14:paraId="2BFF3552" w14:textId="77777777" w:rsidR="0091134C" w:rsidRDefault="0091134C" w:rsidP="0091134C">
      <w:pPr>
        <w:pStyle w:val="Heading2"/>
        <w:keepLines w:val="0"/>
        <w:numPr>
          <w:ilvl w:val="1"/>
          <w:numId w:val="0"/>
        </w:numPr>
        <w:tabs>
          <w:tab w:val="left" w:pos="0"/>
        </w:tabs>
        <w:suppressAutoHyphens/>
        <w:spacing w:before="240" w:after="60"/>
        <w:jc w:val="both"/>
        <w:rPr>
          <w:rFonts w:ascii="Arial" w:eastAsia="Calibri" w:hAnsi="Arial" w:cs="Arial"/>
          <w:b w:val="0"/>
          <w:bCs w:val="0"/>
          <w:color w:val="auto"/>
          <w:sz w:val="22"/>
          <w:szCs w:val="22"/>
        </w:rPr>
      </w:pPr>
      <w:r w:rsidRPr="0091134C"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>The course lead (Dr Carolyn Plateau) regularly checks the course content / material to assure</w:t>
      </w:r>
      <w: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 xml:space="preserve"> quality. She is supported by a broader team of academic staff in the discipline.</w:t>
      </w:r>
    </w:p>
    <w:p w14:paraId="0BC4185B" w14:textId="5F6FB054" w:rsidR="0091134C" w:rsidRPr="0091134C" w:rsidRDefault="0091134C" w:rsidP="0091134C">
      <w:pPr>
        <w:pStyle w:val="Heading2"/>
        <w:keepLines w:val="0"/>
        <w:numPr>
          <w:ilvl w:val="1"/>
          <w:numId w:val="0"/>
        </w:numPr>
        <w:tabs>
          <w:tab w:val="left" w:pos="0"/>
        </w:tabs>
        <w:suppressAutoHyphens/>
        <w:spacing w:before="240" w:after="60"/>
        <w:jc w:val="both"/>
        <w:rPr>
          <w:rFonts w:ascii="Arial" w:eastAsia="Calibr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 xml:space="preserve">The course is checked and monitored by CIMSPA </w:t>
      </w:r>
      <w:proofErr w:type="gramStart"/>
      <w: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>and also</w:t>
      </w:r>
      <w:proofErr w:type="gramEnd"/>
      <w: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 xml:space="preserve"> by CPD UK accreditation body. If you have any queries, please contact us on </w:t>
      </w:r>
      <w:hyperlink r:id="rId9" w:history="1">
        <w:r w:rsidRPr="00716A85">
          <w:rPr>
            <w:rStyle w:val="Hyperlink"/>
            <w:rFonts w:ascii="Arial" w:eastAsia="Calibri" w:hAnsi="Arial" w:cs="Arial"/>
            <w:b w:val="0"/>
            <w:bCs w:val="0"/>
            <w:sz w:val="22"/>
            <w:szCs w:val="22"/>
          </w:rPr>
          <w:t>NCSEM-Education@lboro.ac.uk</w:t>
        </w:r>
      </w:hyperlink>
      <w: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 xml:space="preserve">. </w:t>
      </w:r>
      <w:r w:rsidRPr="0091134C"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t xml:space="preserve"> </w:t>
      </w:r>
    </w:p>
    <w:p w14:paraId="7E82C36B" w14:textId="671FF310" w:rsidR="00765493" w:rsidRPr="0035478E" w:rsidRDefault="00765493" w:rsidP="0035478E"/>
    <w:sectPr w:rsidR="00765493" w:rsidRPr="0035478E" w:rsidSect="00DC61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524" w14:textId="77777777" w:rsidR="00E63BE5" w:rsidRDefault="00E63BE5" w:rsidP="008443C0">
      <w:r>
        <w:separator/>
      </w:r>
    </w:p>
  </w:endnote>
  <w:endnote w:type="continuationSeparator" w:id="0">
    <w:p w14:paraId="5A6B31F9" w14:textId="77777777" w:rsidR="00E63BE5" w:rsidRDefault="00E63BE5" w:rsidP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673B" w14:textId="77777777" w:rsidR="00E63BE5" w:rsidRDefault="00E63BE5" w:rsidP="008443C0">
      <w:r>
        <w:separator/>
      </w:r>
    </w:p>
  </w:footnote>
  <w:footnote w:type="continuationSeparator" w:id="0">
    <w:p w14:paraId="3B3E5B1B" w14:textId="77777777" w:rsidR="00E63BE5" w:rsidRDefault="00E63BE5" w:rsidP="0084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755"/>
    <w:multiLevelType w:val="hybridMultilevel"/>
    <w:tmpl w:val="40B8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826AA"/>
    <w:multiLevelType w:val="hybridMultilevel"/>
    <w:tmpl w:val="088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F40E3"/>
    <w:multiLevelType w:val="hybridMultilevel"/>
    <w:tmpl w:val="00B4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58ED"/>
    <w:multiLevelType w:val="hybridMultilevel"/>
    <w:tmpl w:val="1C38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B2B9F"/>
    <w:multiLevelType w:val="hybridMultilevel"/>
    <w:tmpl w:val="71C8911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32954219"/>
    <w:multiLevelType w:val="hybridMultilevel"/>
    <w:tmpl w:val="FE16321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7872A2"/>
    <w:multiLevelType w:val="hybridMultilevel"/>
    <w:tmpl w:val="1502375A"/>
    <w:lvl w:ilvl="0" w:tplc="CA688A7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A5066E2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602033A0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DE026C74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0440801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F0C1D70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C36B3A8">
      <w:start w:val="1"/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C4DA589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5C07578">
      <w:start w:val="1"/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7" w15:restartNumberingAfterBreak="0">
    <w:nsid w:val="480A72ED"/>
    <w:multiLevelType w:val="multilevel"/>
    <w:tmpl w:val="8A4E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B2793"/>
    <w:multiLevelType w:val="hybridMultilevel"/>
    <w:tmpl w:val="FB0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F52BA"/>
    <w:multiLevelType w:val="multilevel"/>
    <w:tmpl w:val="E93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C32EB"/>
    <w:multiLevelType w:val="hybridMultilevel"/>
    <w:tmpl w:val="3478341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6D7B56B3"/>
    <w:multiLevelType w:val="hybridMultilevel"/>
    <w:tmpl w:val="CF6CEFC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6E7E1C7D"/>
    <w:multiLevelType w:val="multilevel"/>
    <w:tmpl w:val="446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727F38"/>
    <w:multiLevelType w:val="hybridMultilevel"/>
    <w:tmpl w:val="BDAA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41D2F"/>
    <w:multiLevelType w:val="hybridMultilevel"/>
    <w:tmpl w:val="A170E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7F38"/>
    <w:multiLevelType w:val="hybridMultilevel"/>
    <w:tmpl w:val="2E2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A201F"/>
    <w:multiLevelType w:val="hybridMultilevel"/>
    <w:tmpl w:val="045EF9C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7A2A701A"/>
    <w:multiLevelType w:val="hybridMultilevel"/>
    <w:tmpl w:val="E0E4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A77AD"/>
    <w:multiLevelType w:val="hybridMultilevel"/>
    <w:tmpl w:val="BB147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9B6721"/>
    <w:multiLevelType w:val="hybridMultilevel"/>
    <w:tmpl w:val="3844F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18"/>
  </w:num>
  <w:num w:numId="6">
    <w:abstractNumId w:val="10"/>
  </w:num>
  <w:num w:numId="7">
    <w:abstractNumId w:val="19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5"/>
  </w:num>
  <w:num w:numId="13">
    <w:abstractNumId w:val="16"/>
  </w:num>
  <w:num w:numId="14">
    <w:abstractNumId w:val="17"/>
  </w:num>
  <w:num w:numId="15">
    <w:abstractNumId w:val="2"/>
  </w:num>
  <w:num w:numId="16">
    <w:abstractNumId w:va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C0"/>
    <w:rsid w:val="00061967"/>
    <w:rsid w:val="001A4692"/>
    <w:rsid w:val="002F6697"/>
    <w:rsid w:val="0035478E"/>
    <w:rsid w:val="003C61D6"/>
    <w:rsid w:val="00482DF9"/>
    <w:rsid w:val="00491AFD"/>
    <w:rsid w:val="00567EC3"/>
    <w:rsid w:val="0061223A"/>
    <w:rsid w:val="00765493"/>
    <w:rsid w:val="00776BCD"/>
    <w:rsid w:val="008443C0"/>
    <w:rsid w:val="0091134C"/>
    <w:rsid w:val="00AB2D3B"/>
    <w:rsid w:val="00AC135A"/>
    <w:rsid w:val="00B6603D"/>
    <w:rsid w:val="00DC61ED"/>
    <w:rsid w:val="00E217D0"/>
    <w:rsid w:val="00E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E95E21"/>
  <w14:defaultImageDpi w14:val="300"/>
  <w15:docId w15:val="{EE1C65E2-7918-4F3D-AABE-3B1B6621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78E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5478E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3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C0"/>
  </w:style>
  <w:style w:type="paragraph" w:styleId="Footer">
    <w:name w:val="footer"/>
    <w:basedOn w:val="Normal"/>
    <w:link w:val="FooterChar"/>
    <w:uiPriority w:val="99"/>
    <w:unhideWhenUsed/>
    <w:rsid w:val="008443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C0"/>
  </w:style>
  <w:style w:type="paragraph" w:styleId="BalloonText">
    <w:name w:val="Balloon Text"/>
    <w:basedOn w:val="Normal"/>
    <w:link w:val="BalloonTextChar"/>
    <w:uiPriority w:val="99"/>
    <w:semiHidden/>
    <w:unhideWhenUsed/>
    <w:rsid w:val="008443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C0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82DF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482DF9"/>
    <w:rPr>
      <w:b/>
      <w:bCs/>
    </w:rPr>
  </w:style>
  <w:style w:type="character" w:customStyle="1" w:styleId="apple-converted-space">
    <w:name w:val="apple-converted-space"/>
    <w:basedOn w:val="DefaultParagraphFont"/>
    <w:rsid w:val="00482DF9"/>
  </w:style>
  <w:style w:type="character" w:customStyle="1" w:styleId="Heading1Char">
    <w:name w:val="Heading 1 Char"/>
    <w:basedOn w:val="DefaultParagraphFont"/>
    <w:link w:val="Heading1"/>
    <w:uiPriority w:val="1"/>
    <w:rsid w:val="0035478E"/>
    <w:rPr>
      <w:rFonts w:ascii="Arial" w:eastAsia="Arial" w:hAnsi="Arial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35478E"/>
    <w:pPr>
      <w:ind w:left="82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5478E"/>
    <w:rPr>
      <w:rFonts w:ascii="Arial" w:eastAsia="Arial" w:hAnsi="Arial" w:cs="Times New Roman"/>
      <w:sz w:val="22"/>
      <w:szCs w:val="22"/>
    </w:rPr>
  </w:style>
  <w:style w:type="paragraph" w:customStyle="1" w:styleId="Default">
    <w:name w:val="Default"/>
    <w:rsid w:val="0035478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35478E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5478E"/>
  </w:style>
  <w:style w:type="character" w:styleId="FollowedHyperlink">
    <w:name w:val="FollowedHyperlink"/>
    <w:basedOn w:val="DefaultParagraphFont"/>
    <w:uiPriority w:val="99"/>
    <w:semiHidden/>
    <w:unhideWhenUsed/>
    <w:rsid w:val="003547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6697"/>
    <w:pPr>
      <w:widowControl/>
      <w:ind w:left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1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CSEM-Education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8149C-1DC9-4241-B37A-0E7027F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Musson</dc:creator>
  <cp:lastModifiedBy>Kristen Clements</cp:lastModifiedBy>
  <cp:revision>6</cp:revision>
  <cp:lastPrinted>2017-04-24T05:43:00Z</cp:lastPrinted>
  <dcterms:created xsi:type="dcterms:W3CDTF">2021-05-21T16:06:00Z</dcterms:created>
  <dcterms:modified xsi:type="dcterms:W3CDTF">2021-06-08T14:55:00Z</dcterms:modified>
</cp:coreProperties>
</file>